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 о сотрудничестве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Оренбург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«__»</w:t>
      </w:r>
      <w:r>
        <w:rPr>
          <w:rFonts w:ascii="Times New Roman" w:hAnsi="Times New Roman" w:cs="Times New Roman"/>
          <w:sz w:val="28"/>
          <w:szCs w:val="28"/>
        </w:rPr>
        <w:t xml:space="preserve"> _________ 20__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социального развития Оренбургской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именуемое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дальнейшем министерство, в лице __________________________, действующего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основании _____________, и _____________________________________, именуемое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_____________, в лице _____________,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</w:t>
      </w:r>
      <w:r>
        <w:rPr>
          <w:rFonts w:ascii="Times New Roman" w:hAnsi="Times New Roman" w:cs="Times New Roman"/>
          <w:sz w:val="28"/>
          <w:szCs w:val="28"/>
        </w:rPr>
        <w:t xml:space="preserve">___, далее совместно именуемые «Стороны»</w:t>
      </w:r>
      <w:r>
        <w:rPr>
          <w:rFonts w:ascii="Times New Roman" w:hAnsi="Times New Roman" w:cs="Times New Roman"/>
          <w:sz w:val="28"/>
          <w:szCs w:val="28"/>
        </w:rPr>
        <w:t xml:space="preserve">, заключили 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cs="Times New Roman"/>
          <w:sz w:val="28"/>
          <w:szCs w:val="28"/>
        </w:rPr>
        <w:t xml:space="preserve">глашение   о   сотрудничестве (далее   по   текс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«Соглашение»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нижеследующем: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1. Предмет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сотрудничество Сторон на основе безвозмездности, взаимного уважения и партнерского взаимодействия, направленное на исполнение требований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442-ФЗ от 28 декабря 2013 года «</w:t>
      </w:r>
      <w:r>
        <w:rPr>
          <w:rFonts w:ascii="Times New Roman" w:hAnsi="Times New Roman" w:cs="Times New Roman"/>
          <w:sz w:val="28"/>
          <w:szCs w:val="28"/>
        </w:rPr>
        <w:t xml:space="preserve">Об основах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в части ведения регистра получателей социальных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Стороны обязуются в своей деятельности руководствоваться правовыми актами Российской Федерации и Оренбургской области в рамках реализации требований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442-ФЗ от 2</w:t>
      </w:r>
      <w:r>
        <w:rPr>
          <w:rFonts w:ascii="Times New Roman" w:hAnsi="Times New Roman" w:cs="Times New Roman"/>
          <w:sz w:val="28"/>
          <w:szCs w:val="28"/>
        </w:rPr>
        <w:t xml:space="preserve">8 декабря 2013 года «</w:t>
      </w:r>
      <w:r>
        <w:rPr>
          <w:rFonts w:ascii="Times New Roman" w:hAnsi="Times New Roman" w:cs="Times New Roman"/>
          <w:sz w:val="28"/>
          <w:szCs w:val="28"/>
        </w:rPr>
        <w:t xml:space="preserve">Об основах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8"/>
          <w:szCs w:val="28"/>
        </w:rPr>
        <w:t xml:space="preserve">Определения соглашения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«Конфиденциальная информация» –</w:t>
      </w:r>
      <w:r>
        <w:rPr>
          <w:rFonts w:ascii="Times New Roman" w:hAnsi="Times New Roman" w:cs="Times New Roman"/>
          <w:sz w:val="28"/>
          <w:szCs w:val="28"/>
        </w:rPr>
        <w:t xml:space="preserve"> в целях настоящего Соглашения означает информацию, которая передается (или к которой предоставляется доступ) министерст</w:t>
      </w:r>
      <w:r>
        <w:rPr>
          <w:rFonts w:ascii="Times New Roman" w:hAnsi="Times New Roman" w:cs="Times New Roman"/>
          <w:sz w:val="28"/>
          <w:szCs w:val="28"/>
        </w:rPr>
        <w:t xml:space="preserve">вом в письменном или электронном виде либо раскрывается в устной форме; не является общеизвестной или публично доступной, включая персональные данные работников, граждан Российской Федерации и контрагентов министерства или иных физических лиц, обработку ко</w:t>
      </w:r>
      <w:r>
        <w:rPr>
          <w:rFonts w:ascii="Times New Roman" w:hAnsi="Times New Roman" w:cs="Times New Roman"/>
          <w:sz w:val="28"/>
          <w:szCs w:val="28"/>
        </w:rPr>
        <w:t xml:space="preserve">торых министерство осуществляет на законном основании (далее - Персональные данные); в отношении которой министерство предпринимает все необходимые меры для обеспечения ее конфиденциальности. Такая информация может содержаться в государственной автоматизир</w:t>
      </w:r>
      <w:r>
        <w:rPr>
          <w:rFonts w:ascii="Times New Roman" w:hAnsi="Times New Roman" w:cs="Times New Roman"/>
          <w:sz w:val="28"/>
          <w:szCs w:val="28"/>
        </w:rPr>
        <w:t xml:space="preserve">ованной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социальный регистр населения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(ГАИС ЭСРН),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2. Направления и формы сотрудничества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Министерство: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Провести обучение по работе в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Осуществляет методическую поддержку.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НКО: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Получает доступ к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Осуществляет ведение данных по получателям услуг в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3. Конфиденциальность информации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Стороны несут ответственность за достоверность предоставляемых сведений.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случае возникновения обстоятельств, препятствующих своевременному предоставлению Сторонами запрашиваемых сведений, сроки предоставления информации оговариваются Сторонами дополнительно в письменной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Сведения предоставляются на безвозмездной основе.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Стороны используют информацию только в целях, оговоренных настоящим Соглашением. Информация предоставляется на основании запросов с соблюдением мер по защите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Конфиденциальная информация может использоваться Сторонами исключительно в целях, способствующих выполнению условий 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Стороны в целях, способствующих выпол</w:t>
      </w:r>
      <w:r>
        <w:rPr>
          <w:rFonts w:ascii="Times New Roman" w:hAnsi="Times New Roman" w:cs="Times New Roman"/>
          <w:sz w:val="28"/>
          <w:szCs w:val="28"/>
        </w:rPr>
        <w:t xml:space="preserve">нению условий Соглашения, могут осуществлять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от Учреждения.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 Доступ к информации будут иметь только работники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Каждая из Сторон обязуется обеспечить конфиденциальность и безопасность персональных данных, а также конфиденциально</w:t>
      </w:r>
      <w:r>
        <w:rPr>
          <w:rFonts w:ascii="Times New Roman" w:hAnsi="Times New Roman" w:cs="Times New Roman"/>
          <w:sz w:val="28"/>
          <w:szCs w:val="28"/>
        </w:rPr>
        <w:t xml:space="preserve">сть в отношении любой информации, в том числе относящейся к техническим, юридическим, экономическим и финансовым вопросам, но не ограничивающейся ими, которая будет предоставлена другой Стороной или создана в процессе выполнения условий данного Соглашения.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этого, в частности, Сторо</w:t>
      </w:r>
      <w:r>
        <w:rPr>
          <w:rFonts w:ascii="Times New Roman" w:hAnsi="Times New Roman" w:cs="Times New Roman"/>
          <w:sz w:val="28"/>
          <w:szCs w:val="28"/>
        </w:rPr>
        <w:t xml:space="preserve">ны обязуются обеспечить режим конфиденциальности и безопасности персональных данных в информационных системах, обрабатывающих персональные данные, а также в отношении всех письменных материалов, содержащих конфиденциальную информацию или относящихся к ней.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При обработке персональных данных, полученных в рамках данного Соглашения, защита обрабатываемых персональных данных от неправомерного или случайного доступа к ним, унич</w:t>
      </w:r>
      <w:r>
        <w:rPr>
          <w:rFonts w:ascii="Times New Roman" w:hAnsi="Times New Roman" w:cs="Times New Roman"/>
          <w:sz w:val="28"/>
          <w:szCs w:val="28"/>
        </w:rPr>
        <w:t xml:space="preserve">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законодательством Российской Федерации является обязанностью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При обработке персональных данных Стороны обязуются принимать необходимые правовые, организационные и технические меры для защиты персональных данных в соответствии со </w:t>
      </w:r>
      <w:r>
        <w:rPr>
          <w:rFonts w:ascii="Times New Roman" w:hAnsi="Times New Roman" w:cs="Times New Roman"/>
          <w:sz w:val="28"/>
          <w:szCs w:val="28"/>
        </w:rPr>
        <w:t xml:space="preserve">статьей 19</w:t>
      </w:r>
      <w:r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27.07.2006 № 152-ФЗ «О персональных данных»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Каждая из </w:t>
      </w:r>
      <w:r>
        <w:rPr>
          <w:rFonts w:ascii="Times New Roman" w:hAnsi="Times New Roman" w:cs="Times New Roman"/>
          <w:sz w:val="28"/>
          <w:szCs w:val="28"/>
        </w:rPr>
        <w:t xml:space="preserve">Сторон обязуется не раскрывать или не допускать раскрытия прямо или косвенно конфиденциальной информации без предварительного письменного согласия другой Стороны. В случае если в результате умысла или неосторожности Сторон имело место разглашение конфиденц</w:t>
      </w:r>
      <w:r>
        <w:rPr>
          <w:rFonts w:ascii="Times New Roman" w:hAnsi="Times New Roman" w:cs="Times New Roman"/>
          <w:sz w:val="28"/>
          <w:szCs w:val="28"/>
        </w:rPr>
        <w:t xml:space="preserve">иальной информации, полученной в рамках данного Соглашения, в результате чего Учреждение понесло убытки, то такие убытки подлежат возмещению в части реального ущерба (за исключением упущенной выгоды)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В случае прекращения действия Соглашения Стороны обязуются незамедлительно возвратить </w:t>
      </w:r>
      <w:r>
        <w:rPr>
          <w:rFonts w:ascii="Times New Roman" w:hAnsi="Times New Roman" w:cs="Times New Roman"/>
          <w:sz w:val="28"/>
          <w:szCs w:val="28"/>
        </w:rPr>
        <w:t xml:space="preserve">либо уничтожить все носители, содержащие конфиденциальную информацию, в том числе компьютерные версии или копии на электронных носителях, при условии, что такое уничтожение носителей конфиденциальной информации не противоречит применимому законодательству.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4. Работа с государственной информационной системой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социальный регистр населения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Оренбургской области»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Обработка информации и персональных данных (далее - ПДн) в ГАИС ЭСРН осуществляется в рамках технологических процессов. Пользователи должны выполнять свои функциональные обязанности в соответствии с утвержденными регламентами данных процессов.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При сборе информации и ПДн сотрудники должны руководствоваться принципом достоверности и достаточности информац</w:t>
      </w:r>
      <w:r>
        <w:rPr>
          <w:rFonts w:ascii="Times New Roman" w:hAnsi="Times New Roman" w:cs="Times New Roman"/>
          <w:sz w:val="28"/>
          <w:szCs w:val="28"/>
        </w:rPr>
        <w:t xml:space="preserve">ии и ПДн для установленных регламентами технологических процессов целей обработки, а также недопустимости обработки персональных данных, избыточных по отношению к заявленным целям. Состав собираемых и обрабатываемых ПДн утвержден в рамках каждого процесса.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С целью обеспечения ответственности за ведение, нормальное функционирование и контроль работы средств защиты информации в ГАИС ЭСРН в министерстве и подведомственных учреждениях назначает</w:t>
      </w:r>
      <w:r>
        <w:rPr>
          <w:rFonts w:ascii="Times New Roman" w:hAnsi="Times New Roman" w:cs="Times New Roman"/>
          <w:sz w:val="28"/>
          <w:szCs w:val="28"/>
        </w:rPr>
        <w:t xml:space="preserve">ся администратор безопасности; с целью контроля выполнения необходимых мероприятий по обеспечению безопасности - ответственный за защиту информации; с целью контроля за правильной эксплуатацией ГАИС ЭСРН назначается ответственный за эксплуатацию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Допуск пользователей для работы в ГАИС ЭСРН осуществляется на основании Заявки на регистрацию/перерегистра</w:t>
      </w:r>
      <w:r>
        <w:rPr>
          <w:rFonts w:ascii="Times New Roman" w:hAnsi="Times New Roman" w:cs="Times New Roman"/>
          <w:sz w:val="28"/>
          <w:szCs w:val="28"/>
        </w:rPr>
        <w:t xml:space="preserve">цию сведений для доступа в ГИС 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социальный регистр</w:t>
      </w:r>
      <w:r>
        <w:rPr>
          <w:rFonts w:ascii="Times New Roman" w:hAnsi="Times New Roman" w:cs="Times New Roman"/>
          <w:sz w:val="28"/>
          <w:szCs w:val="28"/>
        </w:rPr>
        <w:t xml:space="preserve"> населения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- Заявка), в соответствии с которой пользователям присваиваются группы, необходимые для осуществления служебных полномочий при работе в ГИС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Пользователь имеет право в отведенное ему время решать поставленные задачи в соответствии с полномочиями доступа к ресурсам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Для хранения информации, содержащей ПДн, разрешается использовать только машинные носители информации, учтенные в Журнале учета машинных носителей.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Пользователь несет ответственность за правильность включения и выключения средств вычислительной техники (далее - СВТ), входа в систему и все действия при работе в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Вход пользователя в систему может осуществляться только под своей учетной записью и по персональному паролю.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При работе со съемными машинными носителями информации пользователь каждый раз перед началом работы обязан проверить их на отсутствие вирусов с использованием штат</w:t>
      </w:r>
      <w:r>
        <w:rPr>
          <w:rFonts w:ascii="Times New Roman" w:hAnsi="Times New Roman" w:cs="Times New Roman"/>
          <w:sz w:val="28"/>
          <w:szCs w:val="28"/>
        </w:rPr>
        <w:t xml:space="preserve">ных антивирусных программ, установленных на средствах вычислительной техники. В случае обнаружения вирусов пользователь обязан немедленно прекратить их использование и действовать в соответствии с требованиями Инструкции по антивирусной защите в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Каждый пользователь, участвующий в рамках своих функциональных обязанностей в работе в ГАИС ЭСРН и имеющий доступ к аппаратным средствам, программному обеспечению и данным ГАИС ЭСРН, несет персональную ответственность за свои действия и обязан: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строго соблюдать установленные правила обеспечения безопас</w:t>
      </w:r>
      <w:r>
        <w:rPr>
          <w:rFonts w:ascii="Times New Roman" w:hAnsi="Times New Roman" w:cs="Times New Roman"/>
          <w:sz w:val="28"/>
          <w:szCs w:val="28"/>
        </w:rPr>
        <w:t xml:space="preserve">ности информации при работе с программными и техническими средствами ГАИС ЭСРН. Соблюдать правила работы со средствами защиты информации и установленный режим разграничения доступа к техническим средствам, программам, данным, файлам с ПДн при ее обработке;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и строго выполнять правила работы со средствами защиты информации, установленными на средствах вычислительной техники, с помощью которой производится работа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хранить в тайне свой пароль (пароли) в соответствии с Инструкцией по парольной защите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хранить установленным порядком свое индивидуальное устройство идентификации (</w:t>
      </w:r>
      <w:r>
        <w:rPr>
          <w:rFonts w:ascii="Times New Roman" w:hAnsi="Times New Roman" w:cs="Times New Roman"/>
          <w:sz w:val="28"/>
          <w:szCs w:val="28"/>
        </w:rPr>
        <w:t xml:space="preserve">ключ) и другие реквизиты в сейфе (металлическом шкафу). При выходе в течение рабочего дня из служебной комнаты (помещения) убирать документы с конфиденциальной информацией (ПДн) и съемные цифровые носители в сейф (металлический шкаф) и запирать их на ключ;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выполнять требования Правил антивирусной защиты в ГАИС ЭСРН в полном объеме;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известить ответственного за защиту информации и (или) администратора информационной безопасности в случае утери индивидуального устройства идентификации (ключа) или при подозрении компрометации личных ключей и паролей, а также при обнаружении: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несанкционированных (произведенных с нарушением установленного порядка) изменений в конфигурации программных или аппаратных средств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отклонений</w:t>
      </w:r>
      <w:r>
        <w:rPr>
          <w:rFonts w:ascii="Times New Roman" w:hAnsi="Times New Roman" w:cs="Times New Roman"/>
          <w:sz w:val="28"/>
          <w:szCs w:val="28"/>
        </w:rPr>
        <w:t xml:space="preserve"> в нормальной работе системных и прикладных программных средств, затрудняющих эксплуатацию СВТ, выхода из строя или неустойчивого функционирования узлов СВТ или периферийных устройств (сканера, принтера и т.п.), а также перебоев в системе электроснабжения;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некорректного функционирования установленных на компьютеры технических средств защиты;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непредусмотренных отводов кабелей и подключенных устройств.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Пользователю категорически запрещается: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компоненты программного и аппаратного обеспечения ГАИС ЭСРН в неслужебных целях;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самовольно вносить какие-либо изменения в конфигурацию аппаратно-программных средств ГАИС ЭСРН или устанавливать дополнительно любые программные и аппаратные средства, не предусмотренные архивом дистрибутивов установленного программного обеспечения;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обработку ПДн в присутствии посторонних (не допущенных к данной информации) лиц при работе с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записывать и хранить конфиденциальную информацию из ГАИС ЭСРН (содержащую сведения ограниченного распространения) на неучтенных машинных носителях информации (гибких магнитных дисках и т.п.);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оставлять включенным без присмотра компьютер, не активизировав средства защиты от НСД (временную блокировку экрана и клавиатуры);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умышленно использовать недокументированные свойства и ошибки в программном обеспечении или в настройках средств защиты, которые могут привести к возникновению кризисной ситуации;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размещать средства ГАИС</w:t>
      </w:r>
      <w:r>
        <w:rPr>
          <w:rFonts w:ascii="Times New Roman" w:hAnsi="Times New Roman" w:cs="Times New Roman"/>
          <w:sz w:val="28"/>
          <w:szCs w:val="28"/>
        </w:rPr>
        <w:t xml:space="preserve"> ЭСРН так, чтобы с них существовала возможность визуального считывания информации, а именно экраны видеомониторов в помещении располагать во время работы так, чтобы исключалась возможность ознакомления с отображаемой на них информацией посторонними лицами.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Администратор безопасности (а в его отсутствие - ответственный за защиту информации) обязан: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конфигурацию безопасности в ГАИС ЭСРН в соответствии с Руководством администратора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 состав основных и вспомогательных технических систем (далее - ОТСС и ВТСС) и средств, установленных и смонтированных в ГАИС ЭСРН, перечень используемого программного обеспечения (далее - ПО)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целостность печатей (пломб, защитных наклеек) на периферийном оборудовании, защищенных СВТ и других устройствах;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необходимые настройки подсистемы управления доступом установленных в ГАИС ЭСРН средств защиты информации (далее - СЗИ) от несанкционированного доступа (далее - НСД) и сопровождать их в процессе эксплуатации, при этом: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реализовывать полномочия доступа (чтение, запись) для каждого пользователя к элементам защищаемых информационных ресурсов (файлам, каталогам, принтеру и т.д.);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вводить описания пользователей ГАИС ЭСРН в информационную базу СЗИ от НСД;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своевременно удалять описания пользователей из базы данных СЗИ при изменении списка допущенных к работе лиц;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инструктаж сотрудников - пользователей компьютеров по правилам работы с используемыми техническими средствами и системами защиты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своевременное (не реже чем один раз в течение 180 дней) проведение смены паролей для доступа пользователей к компьютерам и ресурсам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постоянный контроль выполнения пользователями установленного комплекса мероприятий по обеспечению безопасности информации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контроль порядка создания, учета, хранения и использования резервных и архивных копий массивов данных;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настраивать и сопровождать подсистемы регистрации и учета действий пользователей при работе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анализ системного журнала для выявления попыток несанкционированного доступа к защищаемым ресурсам не реже одного раза в 10 дней;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сопровождать подсистемы обеспечения целостности информации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периодически тестировать функции СЗИ от НСД, особенно при изменении программной среды и полномочий исполнителей;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восстанавливать программную среду, программные средства и настройки СЗИ при сбоях;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отсутствие на магнитных носителях остаточной информации по окончании работы пользователей;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периодически обновлять антивирусные средства (базы данных), контролировать соблюдение пользователями порядка и правил проведения антивирусного тестирования;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работу по выявлению несанкционированного доступа к информации и техническим средствам вычислительной техники;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сопровождать подсистему защиты информации от утечки за счет побочных электромагнитных излучений и наводок, контролировать соблюдение требований по размещению и использованию технических средств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контролировать соответствие документально утвержденного состава аппаратной и программной части ГАИС ЭСРН реальным конфигурациям ГАИС ЭСРН, вести учет изменений аппаратно-программной конфигурации;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стро</w:t>
      </w:r>
      <w:r>
        <w:rPr>
          <w:rFonts w:ascii="Times New Roman" w:hAnsi="Times New Roman" w:cs="Times New Roman"/>
          <w:sz w:val="28"/>
          <w:szCs w:val="28"/>
        </w:rPr>
        <w:t xml:space="preserve">гое выполнение требований по обеспечению безопасности информации при организации технического обслуживания ГАИС ЭСРН и отправке его в ремонт (контролировать затирание конфиденциальной информации на магнитных носителях с составлением соответствующего акта);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присутствовать (участвовать) в работах по внесению изменений в аппаратно-программную конфигурацию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«</w:t>
      </w:r>
      <w:r>
        <w:rPr>
          <w:rFonts w:ascii="Times New Roman" w:hAnsi="Times New Roman" w:cs="Times New Roman"/>
          <w:sz w:val="28"/>
          <w:szCs w:val="28"/>
        </w:rPr>
        <w:t xml:space="preserve">Журнал учета нештатных ситуаций, фактов вскрытия и опечатывания СВТ, выполнения профилактических работ, установки и модификации аппар</w:t>
      </w:r>
      <w:r>
        <w:rPr>
          <w:rFonts w:ascii="Times New Roman" w:hAnsi="Times New Roman" w:cs="Times New Roman"/>
          <w:sz w:val="28"/>
          <w:szCs w:val="28"/>
        </w:rPr>
        <w:t xml:space="preserve">атных и программных средств СВТ»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поддерживать установленный порядок проведения антивирусного контроля согласно требованиям Инструкции по антивирусной защите в ГАИС ЭСРН, в случае отказа средств и систем защиты информации принимать меры по их восстановлению;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докладывать ответственному за защиту информации, ответственному за эксплуатацию ГАИС ЭСРН о неправомерных действиях пользователей, приводящих к нарушению требований по защите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документацию на ГАИС ЭСРН в соответствии с требованиями нормативных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Руководители подразделений, в которых производится работа с АИС ЭСРН осуществляют контроль доступа лиц в помещение в соответствии со списком сотрудников, допущенных к работе в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4.13. Пользователям ГАИС ЭСРН запрещается: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технические средства и системы, а также программное обеспечение, состав которых отличается от разрешенного к использованию в Организации;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вносить изменения в состав, конфигурацию и размещение технических средств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самостоятельно устанавливать, тиражировать или модифицировать программное обеспечение, изменять установленный алгоритм функционирования технических и программных средств;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вносить изменения в состав, размещение и настройку средств защиты персональных данных, используемых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проводить обработку персональных данных при неработающих или неисправных средствах защиты информации, отключать (блокировать) средства защиты информации, предусмотренные организационно-распорядительными документами ИСПДн;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сообщать (или передавать) посторонним лицам личные атрибуты доступа к ресурсам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попытки несанкционированного доступа к ресурсам системы и других пользователей; пытаться подменять функции администратора безопасности по перераспределению времени работы и полномочий доступа к ресурсам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производить копирование персональных данных на неучтенные внешние носители. Хранить на учтенных внешних носителях программы и данные, не относящиеся к рабочей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допускать к работам в ГАИС ЭСРН посторонних лиц под своей учетной записью и паролем.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4.14. Пользователи ГАИС ЭСРН имеют право обращаться к лицу, ответственному за информационную безопасность, с просьбой об оказании технической и методической помощи в работе по обеспечению безопасности обрабатываемой на рабочем месте информации.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4.15. Ответственный за защиту информации и администратор безопасности имеют право: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от пользователей ГАИС ЭСРН соблюдения установленной технологии обработки информации и выполнения инструкций по обеспечению безопасности и защите информации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инициировать проведение служебных расследований по фактам нарушения установленных требований обеспечения защиты, несанкционированного доступа, утраты, модификации, порчи защищаемой информации и технических компонентов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требовать прекращения обработки информации в случае нарушения установленного порядка работ или нарушения функционирования средств и систем защиты информации при работе в ГАИС ЭСРН;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анализе ситуаций, касающихся функционирования средств защиты информации и расследования фактов несанкционированного доступа в ГАИС ЭСРН.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0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5.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Стороны обязуются своевременно информировать друг друга о проблемах и затруднениях, возникающих при реализации настоящего Соглашения, а также совместно обсуждать и оценивать результаты совместной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При решении вопросов, не предусмотренных настоящим Соглашением, Стороны руководствуются действующим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Настоящее Соглашение вступает в силу с момента его подписания Сторонами и действует 1 (один) год.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Настоящее Соглашение автоматически продлевает свое действие на 1 (один) год в случае, если за 10 (десять) календарных дней до окончания срока действия настоящего Соглашения ни одна из Сторон не объявит о прекращении его действия.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Настоящее Соглашение может быть изменено или расторгнуто по соглашению Сторон. Согл</w:t>
      </w:r>
      <w:r>
        <w:rPr>
          <w:rFonts w:ascii="Times New Roman" w:hAnsi="Times New Roman" w:cs="Times New Roman"/>
          <w:sz w:val="28"/>
          <w:szCs w:val="28"/>
        </w:rPr>
        <w:t xml:space="preserve">ашение об изменении или расторжении настоящего Соглашения должно быть составлено в письменной форме и подписано Сторонами. Все дополнительные соглашения и приложения к настоящему Соглашению, оформленные надлежащим образом, являются его неотъемлемой частью.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Все споры и разногласия по настоящему Соглашению решаются путем переговоров между Сторонами.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Настоящее Соглашение составлено в 2 (двух) экземплярах, имеющих одинаковую юридическую силу, по одному для каждой из Сторон.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Юридические адреса сторон: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97"/>
        <w:gridCol w:w="5172"/>
      </w:tblGrid>
      <w:tr>
        <w:tblPrEx/>
        <w:trPr/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Оренбургской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Адрес: 460046, г. Оренбург,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Терешковой, д. 33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/ ____________ /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 / _________________ /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784" w:type="dxa"/>
            <w:vAlign w:val="top"/>
            <w:textDirection w:val="lrTb"/>
            <w:noWrap w:val="false"/>
          </w:tcPr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_____ 20__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Align w:val="top"/>
            <w:textDirection w:val="lrTb"/>
            <w:noWrap w:val="false"/>
          </w:tcPr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«__» ______ 20_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9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5" w:h="16838" w:orient="portrait"/>
      <w:pgMar w:top="510" w:right="851" w:bottom="851" w:left="1701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Calibri">
    <w:panose1 w:val="020F0502020204030204"/>
  </w:font>
  <w:font w:name="Century">
    <w:panose1 w:val="020406040505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8"/>
      <w:rPr>
        <w:sz w:val="4"/>
        <w:szCs w:val="4"/>
      </w:rPr>
    </w:pPr>
    <w:r>
      <w:rPr>
        <w:sz w:val="4"/>
        <w:szCs w:val="4"/>
      </w:rPr>
    </w:r>
    <w:r>
      <w:rPr>
        <w:sz w:val="4"/>
        <w:szCs w:val="4"/>
      </w:rPr>
    </w:r>
    <w:r>
      <w:rPr>
        <w:sz w:val="4"/>
        <w:szCs w:val="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74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1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3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7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9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5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65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4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296" w:hanging="216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  <w:tabs>
          <w:tab w:val="num" w:pos="360" w:leader="none"/>
        </w:tabs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990" w:hanging="99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24" w:hanging="99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92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01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73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45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17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89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1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33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052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6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7" w:hanging="1215"/>
      </w:pPr>
    </w:lvl>
    <w:lvl w:ilvl="1">
      <w:start w:val="2"/>
      <w:numFmt w:val="decimal"/>
      <w:isLgl w:val="false"/>
      <w:suff w:val="tab"/>
      <w:lvlText w:val="%1.%2"/>
      <w:lvlJc w:val="left"/>
      <w:pPr>
        <w:ind w:left="2077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2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2782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3142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31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502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862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0" w:hanging="120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1909" w:hanging="120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618" w:hanging="120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327" w:hanging="120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036" w:hanging="120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745" w:hanging="120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454" w:hanging="120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12" w:hanging="1440"/>
      </w:pPr>
      <w:rPr>
        <w:sz w:val="28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313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554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831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72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4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626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7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448" w:hanging="216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6958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2861" w:hanging="450"/>
      </w:pPr>
      <w:rPr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973" w:hanging="720"/>
      </w:pPr>
      <w:rPr>
        <w:sz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2" w:hanging="720"/>
      </w:pPr>
      <w:rPr>
        <w:sz w:val="28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  <w:rPr>
        <w:sz w:val="28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  <w:rPr>
        <w:sz w:val="28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sz w:val="28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  <w:rPr>
        <w:sz w:val="28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sz w:val="28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1" w:hanging="57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"/>
  </w:num>
  <w:num w:numId="3">
    <w:abstractNumId w:val="41"/>
  </w:num>
  <w:num w:numId="4">
    <w:abstractNumId w:val="42"/>
  </w:num>
  <w:num w:numId="5">
    <w:abstractNumId w:val="22"/>
  </w:num>
  <w:num w:numId="6">
    <w:abstractNumId w:val="0"/>
  </w:num>
  <w:num w:numId="7">
    <w:abstractNumId w:val="7"/>
  </w:num>
  <w:num w:numId="8">
    <w:abstractNumId w:val="34"/>
  </w:num>
  <w:num w:numId="9">
    <w:abstractNumId w:val="25"/>
  </w:num>
  <w:num w:numId="10">
    <w:abstractNumId w:val="13"/>
  </w:num>
  <w:num w:numId="11">
    <w:abstractNumId w:val="27"/>
  </w:num>
  <w:num w:numId="12">
    <w:abstractNumId w:val="12"/>
  </w:num>
  <w:num w:numId="13">
    <w:abstractNumId w:val="33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4"/>
  </w:num>
  <w:num w:numId="19">
    <w:abstractNumId w:val="3"/>
  </w:num>
  <w:num w:numId="20">
    <w:abstractNumId w:val="14"/>
  </w:num>
  <w:num w:numId="21">
    <w:abstractNumId w:val="18"/>
  </w:num>
  <w:num w:numId="22">
    <w:abstractNumId w:val="9"/>
  </w:num>
  <w:num w:numId="23">
    <w:abstractNumId w:val="44"/>
  </w:num>
  <w:num w:numId="24">
    <w:abstractNumId w:val="5"/>
  </w:num>
  <w:num w:numId="25">
    <w:abstractNumId w:val="40"/>
  </w:num>
  <w:num w:numId="26">
    <w:abstractNumId w:val="35"/>
  </w:num>
  <w:num w:numId="27">
    <w:abstractNumId w:val="1"/>
  </w:num>
  <w:num w:numId="28">
    <w:abstractNumId w:val="29"/>
  </w:num>
  <w:num w:numId="29">
    <w:abstractNumId w:val="46"/>
  </w:num>
  <w:num w:numId="30">
    <w:abstractNumId w:val="45"/>
  </w:num>
  <w:num w:numId="31">
    <w:abstractNumId w:val="38"/>
  </w:num>
  <w:num w:numId="32">
    <w:abstractNumId w:val="26"/>
  </w:num>
  <w:num w:numId="33">
    <w:abstractNumId w:val="39"/>
  </w:num>
  <w:num w:numId="34">
    <w:abstractNumId w:val="32"/>
  </w:num>
  <w:num w:numId="35">
    <w:abstractNumId w:val="30"/>
  </w:num>
  <w:num w:numId="36">
    <w:abstractNumId w:val="20"/>
  </w:num>
  <w:num w:numId="37">
    <w:abstractNumId w:val="28"/>
  </w:num>
  <w:num w:numId="38">
    <w:abstractNumId w:val="47"/>
  </w:num>
  <w:num w:numId="39">
    <w:abstractNumId w:val="31"/>
  </w:num>
  <w:num w:numId="40">
    <w:abstractNumId w:val="6"/>
  </w:num>
  <w:num w:numId="41">
    <w:abstractNumId w:val="24"/>
  </w:num>
  <w:num w:numId="42">
    <w:abstractNumId w:val="15"/>
  </w:num>
  <w:num w:numId="43">
    <w:abstractNumId w:val="37"/>
  </w:num>
  <w:num w:numId="44">
    <w:abstractNumId w:val="10"/>
  </w:num>
  <w:num w:numId="45">
    <w:abstractNumId w:val="8"/>
  </w:num>
  <w:num w:numId="46">
    <w:abstractNumId w:val="43"/>
  </w:num>
  <w:num w:numId="47">
    <w:abstractNumId w:val="19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2">
    <w:name w:val="Heading 2 Char"/>
    <w:basedOn w:val="796"/>
    <w:link w:val="788"/>
    <w:uiPriority w:val="9"/>
    <w:rPr>
      <w:rFonts w:ascii="Arial" w:hAnsi="Arial" w:eastAsia="Arial" w:cs="Arial"/>
      <w:sz w:val="34"/>
    </w:rPr>
  </w:style>
  <w:style w:type="character" w:styleId="773">
    <w:name w:val="Heading 3 Char"/>
    <w:basedOn w:val="796"/>
    <w:link w:val="789"/>
    <w:uiPriority w:val="9"/>
    <w:rPr>
      <w:rFonts w:ascii="Arial" w:hAnsi="Arial" w:eastAsia="Arial" w:cs="Arial"/>
      <w:sz w:val="30"/>
      <w:szCs w:val="30"/>
    </w:rPr>
  </w:style>
  <w:style w:type="character" w:styleId="774">
    <w:name w:val="Heading 4 Char"/>
    <w:basedOn w:val="796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775">
    <w:name w:val="Heading 5 Char"/>
    <w:basedOn w:val="796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776">
    <w:name w:val="Heading 6 Char"/>
    <w:basedOn w:val="796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777">
    <w:name w:val="Heading 7 Char"/>
    <w:basedOn w:val="796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8">
    <w:name w:val="Heading 8 Char"/>
    <w:basedOn w:val="79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779">
    <w:name w:val="Heading 9 Char"/>
    <w:basedOn w:val="796"/>
    <w:link w:val="795"/>
    <w:uiPriority w:val="9"/>
    <w:rPr>
      <w:rFonts w:ascii="Arial" w:hAnsi="Arial" w:eastAsia="Arial" w:cs="Arial"/>
      <w:i/>
      <w:iCs/>
      <w:sz w:val="21"/>
      <w:szCs w:val="21"/>
    </w:rPr>
  </w:style>
  <w:style w:type="character" w:styleId="780">
    <w:name w:val="Subtitle Char"/>
    <w:basedOn w:val="796"/>
    <w:link w:val="812"/>
    <w:uiPriority w:val="11"/>
    <w:rPr>
      <w:sz w:val="24"/>
      <w:szCs w:val="24"/>
    </w:rPr>
  </w:style>
  <w:style w:type="character" w:styleId="781">
    <w:name w:val="Quote Char"/>
    <w:link w:val="814"/>
    <w:uiPriority w:val="29"/>
    <w:rPr>
      <w:i/>
    </w:rPr>
  </w:style>
  <w:style w:type="character" w:styleId="782">
    <w:name w:val="Intense Quote Char"/>
    <w:link w:val="816"/>
    <w:uiPriority w:val="30"/>
    <w:rPr>
      <w:i/>
    </w:rPr>
  </w:style>
  <w:style w:type="character" w:styleId="783">
    <w:name w:val="Footer Char"/>
    <w:basedOn w:val="796"/>
    <w:link w:val="820"/>
    <w:uiPriority w:val="99"/>
  </w:style>
  <w:style w:type="character" w:styleId="784">
    <w:name w:val="Caption Char"/>
    <w:basedOn w:val="796"/>
    <w:link w:val="822"/>
    <w:uiPriority w:val="35"/>
    <w:rPr>
      <w:b/>
      <w:bCs/>
      <w:color w:val="4f81bd" w:themeColor="accent1"/>
      <w:sz w:val="18"/>
      <w:szCs w:val="18"/>
    </w:rPr>
  </w:style>
  <w:style w:type="character" w:styleId="785">
    <w:name w:val="Endnote Text Char"/>
    <w:link w:val="954"/>
    <w:uiPriority w:val="99"/>
    <w:rPr>
      <w:sz w:val="20"/>
    </w:rPr>
  </w:style>
  <w:style w:type="paragraph" w:styleId="786" w:default="1">
    <w:name w:val="Normal"/>
    <w:qFormat/>
  </w:style>
  <w:style w:type="paragraph" w:styleId="787">
    <w:name w:val="Heading 1"/>
    <w:basedOn w:val="786"/>
    <w:next w:val="786"/>
    <w:link w:val="988"/>
    <w:qFormat/>
    <w:pPr>
      <w:ind w:right="-72" w:hanging="68"/>
      <w:jc w:val="center"/>
      <w:keepNext/>
      <w:outlineLvl w:val="0"/>
    </w:pPr>
    <w:rPr>
      <w:b/>
      <w:sz w:val="24"/>
    </w:rPr>
  </w:style>
  <w:style w:type="paragraph" w:styleId="788">
    <w:name w:val="Heading 2"/>
    <w:basedOn w:val="786"/>
    <w:next w:val="786"/>
    <w:link w:val="800"/>
    <w:qFormat/>
    <w:pPr>
      <w:jc w:val="center"/>
      <w:keepNext/>
      <w:outlineLvl w:val="1"/>
    </w:pPr>
    <w:rPr>
      <w:b/>
      <w:caps/>
      <w:sz w:val="24"/>
    </w:rPr>
  </w:style>
  <w:style w:type="paragraph" w:styleId="789">
    <w:name w:val="Heading 3"/>
    <w:basedOn w:val="786"/>
    <w:next w:val="786"/>
    <w:link w:val="801"/>
    <w:qFormat/>
    <w:pPr>
      <w:jc w:val="center"/>
      <w:keepNext/>
      <w:outlineLvl w:val="2"/>
    </w:pPr>
    <w:rPr>
      <w:rFonts w:ascii="Century" w:hAnsi="Century"/>
      <w:b/>
      <w:caps/>
      <w:sz w:val="30"/>
    </w:rPr>
  </w:style>
  <w:style w:type="paragraph" w:styleId="790">
    <w:name w:val="Heading 4"/>
    <w:basedOn w:val="786"/>
    <w:next w:val="786"/>
    <w:link w:val="802"/>
    <w:qFormat/>
    <w:pPr>
      <w:jc w:val="center"/>
      <w:keepNext/>
      <w:outlineLvl w:val="3"/>
    </w:pPr>
    <w:rPr>
      <w:b/>
      <w:sz w:val="28"/>
    </w:rPr>
  </w:style>
  <w:style w:type="paragraph" w:styleId="791">
    <w:name w:val="Heading 5"/>
    <w:basedOn w:val="786"/>
    <w:next w:val="786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2">
    <w:name w:val="Heading 6"/>
    <w:basedOn w:val="786"/>
    <w:next w:val="786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786"/>
    <w:next w:val="786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786"/>
    <w:next w:val="786"/>
    <w:link w:val="8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5">
    <w:name w:val="Heading 9"/>
    <w:basedOn w:val="786"/>
    <w:next w:val="786"/>
    <w:link w:val="8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default="1">
    <w:name w:val="Default Paragraph Font"/>
    <w:uiPriority w:val="1"/>
    <w:semiHidden/>
    <w:unhideWhenUsed/>
  </w:style>
  <w:style w:type="table" w:styleId="7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8" w:default="1">
    <w:name w:val="No List"/>
    <w:uiPriority w:val="99"/>
    <w:semiHidden/>
    <w:unhideWhenUsed/>
  </w:style>
  <w:style w:type="character" w:styleId="79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link w:val="788"/>
    <w:uiPriority w:val="9"/>
    <w:rPr>
      <w:rFonts w:ascii="Arial" w:hAnsi="Arial" w:eastAsia="Arial" w:cs="Arial"/>
      <w:sz w:val="34"/>
    </w:rPr>
  </w:style>
  <w:style w:type="character" w:styleId="801" w:customStyle="1">
    <w:name w:val="Заголовок 3 Знак"/>
    <w:link w:val="789"/>
    <w:uiPriority w:val="9"/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link w:val="790"/>
    <w:uiPriority w:val="9"/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link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link w:val="792"/>
    <w:uiPriority w:val="9"/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link w:val="794"/>
    <w:uiPriority w:val="9"/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808">
    <w:name w:val="List Paragraph"/>
    <w:basedOn w:val="786"/>
    <w:uiPriority w:val="34"/>
    <w:qFormat/>
    <w:pPr>
      <w:contextualSpacing/>
      <w:ind w:left="720"/>
    </w:pPr>
    <w:rPr>
      <w:sz w:val="24"/>
      <w:szCs w:val="24"/>
    </w:rPr>
  </w:style>
  <w:style w:type="paragraph" w:styleId="809">
    <w:name w:val="No Spacing"/>
    <w:uiPriority w:val="1"/>
    <w:qFormat/>
    <w:rPr>
      <w:rFonts w:ascii="Calibri" w:hAnsi="Calibri"/>
      <w:sz w:val="22"/>
      <w:szCs w:val="22"/>
    </w:rPr>
  </w:style>
  <w:style w:type="paragraph" w:styleId="810">
    <w:name w:val="Title"/>
    <w:basedOn w:val="786"/>
    <w:next w:val="786"/>
    <w:link w:val="998"/>
    <w:qFormat/>
    <w:pPr>
      <w:jc w:val="center"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character" w:styleId="811" w:customStyle="1">
    <w:name w:val="Title Char"/>
    <w:uiPriority w:val="10"/>
    <w:rPr>
      <w:sz w:val="48"/>
      <w:szCs w:val="48"/>
    </w:rPr>
  </w:style>
  <w:style w:type="paragraph" w:styleId="812">
    <w:name w:val="Subtitle"/>
    <w:basedOn w:val="786"/>
    <w:next w:val="786"/>
    <w:link w:val="813"/>
    <w:uiPriority w:val="11"/>
    <w:qFormat/>
    <w:pPr>
      <w:spacing w:before="200" w:after="200"/>
    </w:pPr>
    <w:rPr>
      <w:sz w:val="24"/>
      <w:szCs w:val="24"/>
    </w:rPr>
  </w:style>
  <w:style w:type="character" w:styleId="813" w:customStyle="1">
    <w:name w:val="Подзаголовок Знак"/>
    <w:link w:val="812"/>
    <w:uiPriority w:val="11"/>
    <w:rPr>
      <w:sz w:val="24"/>
      <w:szCs w:val="24"/>
    </w:rPr>
  </w:style>
  <w:style w:type="paragraph" w:styleId="814">
    <w:name w:val="Quote"/>
    <w:basedOn w:val="786"/>
    <w:next w:val="786"/>
    <w:link w:val="815"/>
    <w:uiPriority w:val="29"/>
    <w:qFormat/>
    <w:pPr>
      <w:ind w:left="720" w:right="720"/>
    </w:pPr>
    <w:rPr>
      <w:i/>
    </w:rPr>
  </w:style>
  <w:style w:type="character" w:styleId="815" w:customStyle="1">
    <w:name w:val="Цитата 2 Знак"/>
    <w:link w:val="814"/>
    <w:uiPriority w:val="29"/>
    <w:rPr>
      <w:i/>
    </w:rPr>
  </w:style>
  <w:style w:type="paragraph" w:styleId="816">
    <w:name w:val="Intense Quote"/>
    <w:basedOn w:val="786"/>
    <w:next w:val="786"/>
    <w:link w:val="81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7" w:customStyle="1">
    <w:name w:val="Выделенная цитата Знак"/>
    <w:link w:val="816"/>
    <w:uiPriority w:val="30"/>
    <w:rPr>
      <w:i/>
    </w:rPr>
  </w:style>
  <w:style w:type="paragraph" w:styleId="818">
    <w:name w:val="Header"/>
    <w:basedOn w:val="786"/>
    <w:link w:val="974"/>
    <w:uiPriority w:val="99"/>
    <w:pPr>
      <w:tabs>
        <w:tab w:val="center" w:pos="4153" w:leader="none"/>
        <w:tab w:val="right" w:pos="8306" w:leader="none"/>
      </w:tabs>
    </w:pPr>
  </w:style>
  <w:style w:type="character" w:styleId="819" w:customStyle="1">
    <w:name w:val="Header Char"/>
    <w:uiPriority w:val="99"/>
  </w:style>
  <w:style w:type="paragraph" w:styleId="820">
    <w:name w:val="Footer"/>
    <w:basedOn w:val="786"/>
    <w:link w:val="821"/>
    <w:pPr>
      <w:tabs>
        <w:tab w:val="center" w:pos="4153" w:leader="none"/>
        <w:tab w:val="right" w:pos="8306" w:leader="none"/>
      </w:tabs>
    </w:pPr>
  </w:style>
  <w:style w:type="character" w:styleId="821" w:customStyle="1">
    <w:name w:val="Нижний колонтитул Знак"/>
    <w:link w:val="820"/>
    <w:uiPriority w:val="99"/>
  </w:style>
  <w:style w:type="paragraph" w:styleId="822">
    <w:name w:val="Caption"/>
    <w:basedOn w:val="786"/>
    <w:next w:val="786"/>
    <w:link w:val="82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23" w:customStyle="1">
    <w:name w:val="Название объекта Знак"/>
    <w:link w:val="822"/>
    <w:uiPriority w:val="35"/>
    <w:rPr>
      <w:b/>
      <w:bCs/>
      <w:color w:val="4f81bd"/>
      <w:sz w:val="18"/>
      <w:szCs w:val="18"/>
    </w:rPr>
  </w:style>
  <w:style w:type="table" w:styleId="824">
    <w:name w:val="Table Grid"/>
    <w:basedOn w:val="797"/>
    <w:tblPr/>
  </w:style>
  <w:style w:type="table" w:styleId="825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6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6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7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15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2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50">
    <w:name w:val="Hyperlink"/>
    <w:rPr>
      <w:color w:val="0000ff"/>
      <w:u w:val="single"/>
    </w:rPr>
  </w:style>
  <w:style w:type="paragraph" w:styleId="951">
    <w:name w:val="footnote text"/>
    <w:basedOn w:val="786"/>
    <w:link w:val="978"/>
  </w:style>
  <w:style w:type="character" w:styleId="952" w:customStyle="1">
    <w:name w:val="Footnote Text Char"/>
    <w:uiPriority w:val="99"/>
    <w:rPr>
      <w:sz w:val="18"/>
    </w:rPr>
  </w:style>
  <w:style w:type="character" w:styleId="953">
    <w:name w:val="footnote reference"/>
    <w:rPr>
      <w:vertAlign w:val="superscript"/>
    </w:rPr>
  </w:style>
  <w:style w:type="paragraph" w:styleId="954">
    <w:name w:val="endnote text"/>
    <w:basedOn w:val="786"/>
    <w:link w:val="955"/>
    <w:uiPriority w:val="99"/>
    <w:semiHidden/>
    <w:unhideWhenUsed/>
  </w:style>
  <w:style w:type="character" w:styleId="955" w:customStyle="1">
    <w:name w:val="Текст концевой сноски Знак"/>
    <w:link w:val="954"/>
    <w:uiPriority w:val="99"/>
    <w:rPr>
      <w:sz w:val="20"/>
    </w:rPr>
  </w:style>
  <w:style w:type="character" w:styleId="956">
    <w:name w:val="endnote reference"/>
    <w:uiPriority w:val="99"/>
    <w:semiHidden/>
    <w:unhideWhenUsed/>
    <w:rPr>
      <w:vertAlign w:val="superscript"/>
    </w:rPr>
  </w:style>
  <w:style w:type="paragraph" w:styleId="957">
    <w:name w:val="toc 1"/>
    <w:basedOn w:val="786"/>
    <w:next w:val="786"/>
    <w:uiPriority w:val="39"/>
    <w:unhideWhenUsed/>
    <w:pPr>
      <w:spacing w:after="57"/>
    </w:pPr>
  </w:style>
  <w:style w:type="paragraph" w:styleId="958">
    <w:name w:val="toc 2"/>
    <w:basedOn w:val="786"/>
    <w:next w:val="786"/>
    <w:uiPriority w:val="39"/>
    <w:unhideWhenUsed/>
    <w:pPr>
      <w:ind w:left="283"/>
      <w:spacing w:after="57"/>
    </w:pPr>
  </w:style>
  <w:style w:type="paragraph" w:styleId="959">
    <w:name w:val="toc 3"/>
    <w:basedOn w:val="786"/>
    <w:next w:val="786"/>
    <w:uiPriority w:val="39"/>
    <w:unhideWhenUsed/>
    <w:pPr>
      <w:ind w:left="567"/>
      <w:spacing w:after="57"/>
    </w:pPr>
  </w:style>
  <w:style w:type="paragraph" w:styleId="960">
    <w:name w:val="toc 4"/>
    <w:basedOn w:val="786"/>
    <w:next w:val="786"/>
    <w:uiPriority w:val="39"/>
    <w:unhideWhenUsed/>
    <w:pPr>
      <w:ind w:left="850"/>
      <w:spacing w:after="57"/>
    </w:pPr>
  </w:style>
  <w:style w:type="paragraph" w:styleId="961">
    <w:name w:val="toc 5"/>
    <w:basedOn w:val="786"/>
    <w:next w:val="786"/>
    <w:uiPriority w:val="39"/>
    <w:unhideWhenUsed/>
    <w:pPr>
      <w:ind w:left="1134"/>
      <w:spacing w:after="57"/>
    </w:pPr>
  </w:style>
  <w:style w:type="paragraph" w:styleId="962">
    <w:name w:val="toc 6"/>
    <w:basedOn w:val="786"/>
    <w:next w:val="786"/>
    <w:uiPriority w:val="39"/>
    <w:unhideWhenUsed/>
    <w:pPr>
      <w:ind w:left="1417"/>
      <w:spacing w:after="57"/>
    </w:pPr>
  </w:style>
  <w:style w:type="paragraph" w:styleId="963">
    <w:name w:val="toc 7"/>
    <w:basedOn w:val="786"/>
    <w:next w:val="786"/>
    <w:uiPriority w:val="39"/>
    <w:unhideWhenUsed/>
    <w:pPr>
      <w:ind w:left="1701"/>
      <w:spacing w:after="57"/>
    </w:pPr>
  </w:style>
  <w:style w:type="paragraph" w:styleId="964">
    <w:name w:val="toc 8"/>
    <w:basedOn w:val="786"/>
    <w:next w:val="786"/>
    <w:uiPriority w:val="39"/>
    <w:unhideWhenUsed/>
    <w:pPr>
      <w:ind w:left="1984"/>
      <w:spacing w:after="57"/>
    </w:pPr>
  </w:style>
  <w:style w:type="paragraph" w:styleId="965">
    <w:name w:val="toc 9"/>
    <w:basedOn w:val="786"/>
    <w:next w:val="786"/>
    <w:uiPriority w:val="39"/>
    <w:unhideWhenUsed/>
    <w:pPr>
      <w:ind w:left="2268"/>
      <w:spacing w:after="57"/>
    </w:pPr>
  </w:style>
  <w:style w:type="paragraph" w:styleId="966">
    <w:name w:val="TOC Heading"/>
    <w:uiPriority w:val="39"/>
    <w:unhideWhenUsed/>
    <w:rPr>
      <w:lang w:eastAsia="zh-CN"/>
    </w:rPr>
  </w:style>
  <w:style w:type="paragraph" w:styleId="967">
    <w:name w:val="table of figures"/>
    <w:basedOn w:val="786"/>
    <w:next w:val="786"/>
    <w:uiPriority w:val="99"/>
    <w:unhideWhenUsed/>
  </w:style>
  <w:style w:type="paragraph" w:styleId="968">
    <w:name w:val="Body Text Indent"/>
    <w:basedOn w:val="786"/>
    <w:pPr>
      <w:ind w:firstLine="700"/>
      <w:jc w:val="both"/>
    </w:pPr>
    <w:rPr>
      <w:sz w:val="28"/>
      <w:szCs w:val="24"/>
    </w:rPr>
  </w:style>
  <w:style w:type="paragraph" w:styleId="969">
    <w:name w:val="Body Text"/>
    <w:basedOn w:val="786"/>
    <w:pPr>
      <w:jc w:val="center"/>
    </w:pPr>
    <w:rPr>
      <w:b/>
      <w:sz w:val="26"/>
    </w:rPr>
  </w:style>
  <w:style w:type="character" w:styleId="970">
    <w:name w:val="FollowedHyperlink"/>
    <w:rPr>
      <w:color w:val="800080"/>
      <w:u w:val="single"/>
    </w:rPr>
  </w:style>
  <w:style w:type="paragraph" w:styleId="971">
    <w:name w:val="Balloon Text"/>
    <w:basedOn w:val="786"/>
    <w:semiHidden/>
    <w:rPr>
      <w:rFonts w:ascii="Tahoma" w:hAnsi="Tahoma" w:cs="Tahoma"/>
      <w:sz w:val="16"/>
      <w:szCs w:val="16"/>
    </w:rPr>
  </w:style>
  <w:style w:type="paragraph" w:styleId="972" w:customStyle="1">
    <w:name w:val="Block Quotation"/>
    <w:basedOn w:val="786"/>
    <w:uiPriority w:val="99"/>
    <w:pPr>
      <w:ind w:left="567" w:right="-2" w:firstLine="851"/>
      <w:jc w:val="both"/>
      <w:widowControl w:val="off"/>
    </w:pPr>
    <w:rPr>
      <w:sz w:val="28"/>
      <w:szCs w:val="28"/>
    </w:rPr>
  </w:style>
  <w:style w:type="paragraph" w:styleId="973" w:customStyle="1">
    <w:name w:val="ConsPlusCell"/>
    <w:uiPriority w:val="99"/>
    <w:rPr>
      <w:rFonts w:ascii="Arial" w:hAnsi="Arial" w:cs="Arial"/>
    </w:rPr>
  </w:style>
  <w:style w:type="character" w:styleId="974" w:customStyle="1">
    <w:name w:val="Верхний колонтитул Знак"/>
    <w:basedOn w:val="796"/>
    <w:link w:val="818"/>
    <w:uiPriority w:val="99"/>
  </w:style>
  <w:style w:type="paragraph" w:styleId="975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76" w:customStyle="1">
    <w:name w:val="ConsPlusNormal"/>
    <w:link w:val="984"/>
    <w:pPr>
      <w:ind w:firstLine="720"/>
    </w:pPr>
    <w:rPr>
      <w:rFonts w:ascii="Arial" w:hAnsi="Arial" w:cs="Arial"/>
    </w:rPr>
  </w:style>
  <w:style w:type="character" w:styleId="977">
    <w:name w:val="page number"/>
    <w:basedOn w:val="796"/>
  </w:style>
  <w:style w:type="character" w:styleId="978" w:customStyle="1">
    <w:name w:val="Текст сноски Знак"/>
    <w:basedOn w:val="796"/>
    <w:link w:val="951"/>
  </w:style>
  <w:style w:type="paragraph" w:styleId="979" w:customStyle="1">
    <w:name w:val="Char Char Знак"/>
    <w:basedOn w:val="786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980" w:customStyle="1">
    <w:name w:val="t_wpc_p"/>
    <w:basedOn w:val="786"/>
    <w:pPr>
      <w:jc w:val="both"/>
      <w:spacing w:before="100" w:beforeAutospacing="1" w:after="100" w:afterAutospacing="1" w:line="210" w:lineRule="atLeast"/>
    </w:pPr>
    <w:rPr>
      <w:rFonts w:ascii="Arial" w:hAnsi="Arial" w:cs="Arial"/>
      <w:color w:val="333333"/>
      <w:sz w:val="18"/>
      <w:szCs w:val="18"/>
    </w:rPr>
  </w:style>
  <w:style w:type="paragraph" w:styleId="981">
    <w:name w:val="Normal (Web)"/>
    <w:basedOn w:val="786"/>
    <w:uiPriority w:val="99"/>
    <w:unhideWhenUsed/>
    <w:rPr>
      <w:sz w:val="24"/>
      <w:szCs w:val="24"/>
    </w:rPr>
  </w:style>
  <w:style w:type="paragraph" w:styleId="982" w:customStyle="1">
    <w:name w:val="ConsPlusTitle"/>
    <w:pPr>
      <w:widowControl w:val="off"/>
    </w:pPr>
    <w:rPr>
      <w:b/>
      <w:bCs/>
      <w:sz w:val="28"/>
      <w:szCs w:val="28"/>
    </w:rPr>
  </w:style>
  <w:style w:type="character" w:styleId="983" w:customStyle="1">
    <w:name w:val="Font Style14"/>
    <w:uiPriority w:val="99"/>
    <w:rPr>
      <w:rFonts w:ascii="Times New Roman" w:hAnsi="Times New Roman" w:cs="Times New Roman"/>
      <w:sz w:val="26"/>
      <w:szCs w:val="26"/>
    </w:rPr>
  </w:style>
  <w:style w:type="character" w:styleId="984" w:customStyle="1">
    <w:name w:val="ConsPlusNormal Знак"/>
    <w:link w:val="976"/>
    <w:rPr>
      <w:rFonts w:ascii="Arial" w:hAnsi="Arial" w:cs="Arial"/>
      <w:lang w:val="ru-RU" w:eastAsia="ru-RU" w:bidi="ar-SA"/>
    </w:rPr>
  </w:style>
  <w:style w:type="paragraph" w:styleId="985">
    <w:name w:val="Body Text Indent 3"/>
    <w:basedOn w:val="786"/>
    <w:link w:val="986"/>
    <w:pPr>
      <w:ind w:left="283"/>
      <w:spacing w:after="120"/>
    </w:pPr>
    <w:rPr>
      <w:sz w:val="16"/>
      <w:szCs w:val="16"/>
    </w:rPr>
  </w:style>
  <w:style w:type="character" w:styleId="986" w:customStyle="1">
    <w:name w:val="Основной текст с отступом 3 Знак"/>
    <w:link w:val="985"/>
    <w:rPr>
      <w:sz w:val="16"/>
      <w:szCs w:val="16"/>
    </w:rPr>
  </w:style>
  <w:style w:type="character" w:styleId="987">
    <w:name w:val="Strong"/>
    <w:uiPriority w:val="22"/>
    <w:qFormat/>
    <w:rPr>
      <w:b/>
      <w:bCs/>
    </w:rPr>
  </w:style>
  <w:style w:type="character" w:styleId="988" w:customStyle="1">
    <w:name w:val="Заголовок 1 Знак"/>
    <w:link w:val="787"/>
    <w:rPr>
      <w:b/>
      <w:sz w:val="24"/>
    </w:rPr>
  </w:style>
  <w:style w:type="character" w:styleId="989" w:customStyle="1">
    <w:name w:val="Гипертекстовая ссылка"/>
    <w:uiPriority w:val="99"/>
    <w:rPr>
      <w:color w:val="106bbe"/>
    </w:rPr>
  </w:style>
  <w:style w:type="character" w:styleId="990" w:customStyle="1">
    <w:name w:val="Цветовое выделение"/>
    <w:uiPriority w:val="99"/>
    <w:rPr>
      <w:b/>
      <w:color w:val="26282f"/>
    </w:rPr>
  </w:style>
  <w:style w:type="paragraph" w:styleId="991" w:customStyle="1">
    <w:name w:val="Нормальный (таблица)"/>
    <w:basedOn w:val="786"/>
    <w:next w:val="786"/>
    <w:uiPriority w:val="99"/>
    <w:pPr>
      <w:jc w:val="both"/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2" w:customStyle="1">
    <w:name w:val="Прижатый влево"/>
    <w:basedOn w:val="786"/>
    <w:next w:val="786"/>
    <w:uiPriority w:val="99"/>
    <w:pPr>
      <w:widowControl w:val="off"/>
    </w:pPr>
    <w:rPr>
      <w:rFonts w:ascii="Times New Roman CYR" w:hAnsi="Times New Roman CYR" w:cs="Times New Roman CYR"/>
      <w:sz w:val="24"/>
      <w:szCs w:val="24"/>
    </w:rPr>
  </w:style>
  <w:style w:type="paragraph" w:styleId="993" w:customStyle="1">
    <w:name w:val="Комментарий"/>
    <w:basedOn w:val="786"/>
    <w:next w:val="786"/>
    <w:uiPriority w:val="99"/>
    <w:pPr>
      <w:ind w:left="170"/>
      <w:jc w:val="both"/>
      <w:spacing w:before="75"/>
      <w:widowControl w:val="off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994" w:customStyle="1">
    <w:name w:val="ConsPlusNormal1"/>
    <w:pPr>
      <w:widowControl w:val="off"/>
    </w:pPr>
    <w:rPr>
      <w:rFonts w:ascii="Arial" w:hAnsi="Arial" w:cs="Arial"/>
      <w:szCs w:val="22"/>
    </w:rPr>
  </w:style>
  <w:style w:type="paragraph" w:styleId="995" w:customStyle="1">
    <w:name w:val="Информация о версии"/>
    <w:basedOn w:val="993"/>
    <w:next w:val="786"/>
    <w:uiPriority w:val="99"/>
    <w:rPr>
      <w:i/>
      <w:iCs/>
    </w:rPr>
  </w:style>
  <w:style w:type="table" w:styleId="996">
    <w:name w:val="Table Web 1"/>
    <w:basedOn w:val="797"/>
    <w:tblPr/>
  </w:style>
  <w:style w:type="table" w:styleId="997">
    <w:name w:val="Table Grid 1"/>
    <w:basedOn w:val="797"/>
    <w:tblPr/>
  </w:style>
  <w:style w:type="character" w:styleId="998" w:customStyle="1">
    <w:name w:val="Заголовок Знак"/>
    <w:link w:val="810"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999" w:customStyle="1">
    <w:name w:val="docdata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Тенишева Р.И.</dc:creator>
  <cp:lastModifiedBy>fominih-ta</cp:lastModifiedBy>
  <cp:revision>22</cp:revision>
  <dcterms:created xsi:type="dcterms:W3CDTF">2025-10-03T05:31:00Z</dcterms:created>
  <dcterms:modified xsi:type="dcterms:W3CDTF">2025-10-22T06:36:52Z</dcterms:modified>
  <cp:version>1048576</cp:version>
</cp:coreProperties>
</file>