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41" w:rsidRDefault="003A1F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013341" w:rsidRDefault="003A1F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государственной программы </w:t>
      </w:r>
    </w:p>
    <w:p w:rsidR="00013341" w:rsidRDefault="003A1F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граждан в Оренбургской области» </w:t>
      </w:r>
    </w:p>
    <w:p w:rsidR="00013341" w:rsidRDefault="00013341">
      <w:pPr>
        <w:jc w:val="center"/>
        <w:rPr>
          <w:rFonts w:ascii="Tahoma" w:hAnsi="Tahoma" w:cs="Tahoma"/>
          <w:sz w:val="16"/>
          <w:szCs w:val="16"/>
        </w:rPr>
      </w:pPr>
    </w:p>
    <w:p w:rsidR="00013341" w:rsidRDefault="003A1F52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2376170" cy="17272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41" w:rsidRDefault="00013341">
      <w:pPr>
        <w:ind w:firstLine="709"/>
        <w:jc w:val="center"/>
        <w:rPr>
          <w:sz w:val="28"/>
          <w:szCs w:val="28"/>
        </w:rPr>
      </w:pPr>
    </w:p>
    <w:p w:rsidR="00013341" w:rsidRDefault="00013341">
      <w:pPr>
        <w:ind w:firstLine="709"/>
        <w:jc w:val="center"/>
        <w:rPr>
          <w:sz w:val="28"/>
          <w:szCs w:val="28"/>
        </w:rPr>
      </w:pPr>
    </w:p>
    <w:p w:rsidR="00013341" w:rsidRDefault="003A1F52">
      <w:pPr>
        <w:ind w:left="8080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013341" w:rsidRDefault="003A1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076"/>
        <w:gridCol w:w="6380"/>
      </w:tblGrid>
      <w:tr w:rsidR="00013341">
        <w:tc>
          <w:tcPr>
            <w:tcW w:w="4076" w:type="dxa"/>
            <w:shd w:val="clear" w:color="auto" w:fill="auto"/>
          </w:tcPr>
          <w:p w:rsidR="00013341" w:rsidRDefault="003A1F52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13341" w:rsidRDefault="003A1F52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совета –</w:t>
            </w:r>
          </w:p>
          <w:p w:rsidR="00013341" w:rsidRDefault="00013341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</w:p>
          <w:p w:rsidR="00013341" w:rsidRDefault="003A1F52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управляющего совета:</w:t>
            </w:r>
          </w:p>
          <w:p w:rsidR="00013341" w:rsidRDefault="00013341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13341" w:rsidRDefault="00013341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</w:p>
          <w:p w:rsidR="00013341" w:rsidRDefault="003A1F52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Сладкова Е.А.</w:t>
            </w:r>
          </w:p>
          <w:p w:rsidR="00013341" w:rsidRDefault="00013341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</w:p>
          <w:p w:rsidR="00013341" w:rsidRDefault="003A1F52">
            <w:pPr>
              <w:widowControl w:val="0"/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Шатилов А.П., </w:t>
            </w:r>
            <w:r>
              <w:rPr>
                <w:color w:val="000000" w:themeColor="text1"/>
                <w:sz w:val="28"/>
                <w:szCs w:val="28"/>
              </w:rPr>
              <w:t>Храмова Е.В., Ризик В.Р., Теплякова И.В., Есина А.К.</w:t>
            </w:r>
          </w:p>
          <w:p w:rsidR="00013341" w:rsidRDefault="00013341">
            <w:pPr>
              <w:pStyle w:val="ab"/>
              <w:widowControl w:val="0"/>
              <w:tabs>
                <w:tab w:val="left" w:pos="1071"/>
                <w:tab w:val="left" w:pos="1162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013341" w:rsidRDefault="00013341">
      <w:pPr>
        <w:pStyle w:val="af1"/>
        <w:tabs>
          <w:tab w:val="right" w:pos="93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3341" w:rsidRDefault="003A1F52">
      <w:pPr>
        <w:pStyle w:val="af1"/>
        <w:tabs>
          <w:tab w:val="right" w:pos="93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13341" w:rsidRDefault="00013341">
      <w:pPr>
        <w:jc w:val="center"/>
        <w:rPr>
          <w:b/>
          <w:sz w:val="28"/>
          <w:szCs w:val="28"/>
        </w:rPr>
      </w:pPr>
    </w:p>
    <w:p w:rsidR="00013341" w:rsidRDefault="003A1F5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Рассмотрение, согласование и утверждение изменений в согласуемые документы к </w:t>
      </w:r>
      <w:r>
        <w:rPr>
          <w:rStyle w:val="s10"/>
          <w:color w:val="000000"/>
          <w:sz w:val="26"/>
          <w:szCs w:val="26"/>
        </w:rPr>
        <w:t xml:space="preserve">государственной программе </w:t>
      </w:r>
      <w:r>
        <w:rPr>
          <w:sz w:val="26"/>
          <w:szCs w:val="26"/>
        </w:rPr>
        <w:t xml:space="preserve">«Социальная поддержка граждан в Оренбургской области» на период </w:t>
      </w:r>
      <w:r>
        <w:rPr>
          <w:color w:val="000000" w:themeColor="text1"/>
          <w:sz w:val="26"/>
          <w:szCs w:val="26"/>
        </w:rPr>
        <w:t>2023-2030 годы:</w:t>
      </w:r>
    </w:p>
    <w:p w:rsidR="00013341" w:rsidRDefault="003A1F52">
      <w:pPr>
        <w:pStyle w:val="af0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9781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color w:val="000000" w:themeColor="text1"/>
          <w:sz w:val="26"/>
          <w:szCs w:val="26"/>
        </w:rPr>
        <w:t>показатели государственной программы: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993"/>
          <w:tab w:val="left" w:pos="1134"/>
          <w:tab w:val="left" w:pos="9781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включены новые показатели: «Доля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ющихся в долговременном уходе», «Численность детей, охваченных организованными формами отдыха и (или) оздоровления в организациях отдыха детей и их оздоровления», </w:t>
      </w:r>
      <w:r>
        <w:rPr>
          <w:rFonts w:ascii="Times New Roman" w:hAnsi="Times New Roman"/>
          <w:sz w:val="26"/>
          <w:szCs w:val="26"/>
        </w:rPr>
        <w:t>соответствующие изменения внесены в методику расчета (приложение 7 пункты 2 и 15);</w:t>
      </w:r>
    </w:p>
    <w:p w:rsidR="00013341" w:rsidRDefault="003A1F52">
      <w:pPr>
        <w:pStyle w:val="af0"/>
        <w:tabs>
          <w:tab w:val="left" w:pos="0"/>
          <w:tab w:val="left" w:pos="284"/>
          <w:tab w:val="left" w:pos="709"/>
          <w:tab w:val="left" w:pos="993"/>
          <w:tab w:val="left" w:pos="9781"/>
        </w:tabs>
        <w:ind w:left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2)исключен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показатель «Число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детьми»;</w:t>
      </w:r>
    </w:p>
    <w:p w:rsidR="00013341" w:rsidRDefault="003A1F52">
      <w:pPr>
        <w:pStyle w:val="af0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  <w:tab w:val="left" w:pos="9781"/>
        </w:tabs>
        <w:ind w:left="0"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изменены значения показателей «Доля граждан старше трудоспособного возраста и инв</w:t>
      </w:r>
      <w:r>
        <w:rPr>
          <w:rFonts w:ascii="Times New Roman" w:hAnsi="Times New Roman"/>
          <w:color w:val="000000" w:themeColor="text1"/>
          <w:sz w:val="26"/>
          <w:szCs w:val="26"/>
        </w:rPr>
        <w:t>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уходе» на 2024 год с 40 до 1,2 процента, «Доля граждан, охваченных государственной социально</w:t>
      </w:r>
      <w:r>
        <w:rPr>
          <w:rFonts w:ascii="Times New Roman" w:hAnsi="Times New Roman"/>
          <w:color w:val="000000" w:themeColor="text1"/>
          <w:sz w:val="26"/>
          <w:szCs w:val="26"/>
        </w:rPr>
        <w:t>й помощью на основании социального контракта, в общей численности малоимущих граждан» на 2023 год с 6,1 до 6,2 процентов, «Доля граждан, получивших социальные услуги в учреждениях социального обслуживания населения, в общем числе граждан, обратившихся за п</w:t>
      </w:r>
      <w:r>
        <w:rPr>
          <w:rFonts w:ascii="Times New Roman" w:hAnsi="Times New Roman"/>
          <w:color w:val="000000" w:themeColor="text1"/>
          <w:sz w:val="26"/>
          <w:szCs w:val="26"/>
        </w:rPr>
        <w:t>олучением социальных услуг в учреждения социального обслуживания населения» на 2023 год с 99,9 до 99,8 процентов, «Доля детей в возрасте от 3 до 7 лет включительно, в отношении которых в отчетном году произведена ежемесячная выплата, в общей численности де</w:t>
      </w:r>
      <w:r>
        <w:rPr>
          <w:rFonts w:ascii="Times New Roman" w:hAnsi="Times New Roman"/>
          <w:color w:val="000000" w:themeColor="text1"/>
          <w:sz w:val="26"/>
          <w:szCs w:val="26"/>
        </w:rPr>
        <w:t>тей этого возраста» на 2023 год с 20,5 до 42,3 процентов, «Доля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</w:t>
      </w:r>
      <w:r>
        <w:rPr>
          <w:rFonts w:ascii="Times New Roman" w:hAnsi="Times New Roman"/>
          <w:color w:val="000000" w:themeColor="text1"/>
          <w:sz w:val="26"/>
          <w:szCs w:val="26"/>
        </w:rPr>
        <w:t>ого жилищного фонда по договорам найма специализированных жилых помещений (состоящих в очереди на 01.01.2023)» на 2023 год – 12, 2024 – 25, 2025 – 37, 2026 – 50, 2027 – 62, 2028 – 75, 2029 – 87, 2030 – 100 процентов, «Количество семей отдельных категорий г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раждан,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обеспеченных жильем» базовое значение 0,089, на 2023 год 0,153, 2024 – 0,215, 2025 – 0,274 тыс. семей (приложение 1).</w:t>
      </w:r>
    </w:p>
    <w:p w:rsidR="00013341" w:rsidRDefault="00013341">
      <w:pPr>
        <w:pStyle w:val="af0"/>
        <w:tabs>
          <w:tab w:val="left" w:pos="0"/>
          <w:tab w:val="left" w:pos="284"/>
          <w:tab w:val="left" w:pos="709"/>
          <w:tab w:val="left" w:pos="993"/>
          <w:tab w:val="left" w:pos="9781"/>
        </w:tabs>
        <w:ind w:left="0"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013341" w:rsidRDefault="003A1F52">
      <w:pPr>
        <w:pStyle w:val="af0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Задачи, планируемые в рамках структурных элементов государственной программы дополнены связью с новыми показателями по </w:t>
      </w:r>
      <w:r>
        <w:rPr>
          <w:rFonts w:ascii="Times New Roman" w:hAnsi="Times New Roman"/>
          <w:color w:val="000000" w:themeColor="text1"/>
          <w:sz w:val="26"/>
          <w:szCs w:val="26"/>
        </w:rPr>
        <w:t>региональному проекту «Старшее поколение» и комплексу процессных мероприятий «Организация отдыха детей и их оздоровления» (приложение 2).</w:t>
      </w:r>
    </w:p>
    <w:p w:rsidR="00013341" w:rsidRDefault="00013341">
      <w:pPr>
        <w:pStyle w:val="af0"/>
        <w:tabs>
          <w:tab w:val="left" w:pos="0"/>
          <w:tab w:val="left" w:pos="1134"/>
        </w:tabs>
        <w:ind w:left="709"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013341" w:rsidRDefault="003A1F52">
      <w:pPr>
        <w:pStyle w:val="af0"/>
        <w:numPr>
          <w:ilvl w:val="0"/>
          <w:numId w:val="2"/>
        </w:numPr>
        <w:tabs>
          <w:tab w:val="left" w:pos="142"/>
          <w:tab w:val="left" w:pos="709"/>
          <w:tab w:val="left" w:pos="993"/>
          <w:tab w:val="left" w:pos="1134"/>
          <w:tab w:val="left" w:pos="9781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Перечень мероприятий </w:t>
      </w:r>
      <w:r>
        <w:rPr>
          <w:rFonts w:ascii="Times New Roman" w:hAnsi="Times New Roman"/>
          <w:sz w:val="26"/>
          <w:szCs w:val="26"/>
        </w:rPr>
        <w:t xml:space="preserve">(результатов), направленных на реализацию задач структурных элементов государственной программы </w:t>
      </w:r>
      <w:r>
        <w:rPr>
          <w:rFonts w:ascii="Times New Roman" w:hAnsi="Times New Roman"/>
          <w:sz w:val="26"/>
          <w:szCs w:val="26"/>
        </w:rPr>
        <w:t xml:space="preserve">(приложение 3): </w:t>
      </w:r>
    </w:p>
    <w:p w:rsidR="00013341" w:rsidRDefault="003A1F52">
      <w:pPr>
        <w:pStyle w:val="af0"/>
        <w:tabs>
          <w:tab w:val="left" w:pos="993"/>
          <w:tab w:val="left" w:pos="1134"/>
          <w:tab w:val="left" w:pos="9781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Изменены значения следующих результатов на текущий и плановый период:</w:t>
      </w:r>
    </w:p>
    <w:p w:rsidR="00013341" w:rsidRDefault="003A1F52">
      <w:pPr>
        <w:pStyle w:val="af0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«Семьи с тремя и более детьми, получат ежемесячную денежную выплату, назначаемую в случае рождения третьего ребенка или последующих детей до достижения ребенком возра</w:t>
      </w:r>
      <w:r>
        <w:rPr>
          <w:rFonts w:ascii="Times New Roman" w:hAnsi="Times New Roman"/>
          <w:sz w:val="26"/>
          <w:szCs w:val="26"/>
        </w:rPr>
        <w:t>ста 3 лет» на 2023 год увеличено с 10,321 до 12,157 тысяч семей, на 2024 год уменьшено с 6,181 до 5,9 тысяч семей (пункт 1.2.);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1134"/>
          <w:tab w:val="left" w:pos="9781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«Граждане старше трудоспособного возраста и инвалиды получили услуги в рамках системы долговременного ухода» на 2023 год 250 чел</w:t>
      </w:r>
      <w:r>
        <w:rPr>
          <w:rFonts w:ascii="Times New Roman" w:hAnsi="Times New Roman"/>
          <w:sz w:val="26"/>
          <w:szCs w:val="26"/>
        </w:rPr>
        <w:t>овек, на 2024 год 250 человек (пункт 2.1.), соответствующие изменения внесены в методику расчета результата (приложение 7 пункт 21);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«Приобретено оборудование для отделений (групп) дневного пребывания для граждан пожилого возраста и инвалидов» – в 2023 год</w:t>
      </w:r>
      <w:r>
        <w:rPr>
          <w:rFonts w:ascii="Times New Roman" w:hAnsi="Times New Roman"/>
          <w:sz w:val="26"/>
          <w:szCs w:val="26"/>
        </w:rPr>
        <w:t>у увеличен с 3 до 4 (пункт 2.4.);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«Приобретено оборудование для проведения социально-оздоровительных, профилактических, социокультурных мероприятий для граждан пожилого возраста» на 2024 год запланировано приобрести оборудование для 40 КЦСОН (пункт 2.5.);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«Обеспечены жильем отдельные категории граждан» на 2023 год – 67, 2024 – 62, 2025 – 62, 2026 – 61, 2027 – 60, 2028 – 60, 2029 – 60, 2030 – 60 человек (пункт 3.19.);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«Меры социальной поддержки отдельными категориями граждан на покупку и установку газоисполь</w:t>
      </w:r>
      <w:r>
        <w:rPr>
          <w:rFonts w:ascii="Times New Roman" w:hAnsi="Times New Roman"/>
          <w:sz w:val="26"/>
          <w:szCs w:val="26"/>
        </w:rPr>
        <w:t>зующего оборудования и проведение работ внутри границ их земельных участков в рамках реализации мероприятий по осуществлению подключения к газораспределительным сетям в соответствии с законодательством Оренбургской области в установленные сроки и в установ</w:t>
      </w:r>
      <w:r>
        <w:rPr>
          <w:rFonts w:ascii="Times New Roman" w:hAnsi="Times New Roman"/>
          <w:sz w:val="26"/>
          <w:szCs w:val="26"/>
        </w:rPr>
        <w:t>ленных объемах предоставлены» в значении 100 процентов продлен до 2030 года (пункт 3.26.);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детьми» на </w:t>
      </w:r>
      <w:r>
        <w:rPr>
          <w:rFonts w:ascii="Times New Roman" w:hAnsi="Times New Roman"/>
          <w:sz w:val="26"/>
          <w:szCs w:val="26"/>
        </w:rPr>
        <w:t>2023 год увеличено с 22046 до 45783 человека (пункт 5.2.);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возраста» на 2023 год увеличено с 20,5 до 42,</w:t>
      </w:r>
      <w:r>
        <w:rPr>
          <w:rFonts w:ascii="Times New Roman" w:hAnsi="Times New Roman"/>
          <w:sz w:val="26"/>
          <w:szCs w:val="26"/>
        </w:rPr>
        <w:t>3 процентов (пункт 5.36.);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«Количество многодетных семей, получивших социальные выплаты на приобретение или строительство жилья» на 2023 год снижено с 80 до 64 семей, на 2024 год увеличено с 80 до 120 семей (пункт 5.5.);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«Численность детей-сирот и детей, о</w:t>
      </w:r>
      <w:r>
        <w:rPr>
          <w:rFonts w:ascii="Times New Roman" w:hAnsi="Times New Roman"/>
          <w:sz w:val="26"/>
          <w:szCs w:val="26"/>
        </w:rPr>
        <w:t>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или жилищны</w:t>
      </w:r>
      <w:r>
        <w:rPr>
          <w:rFonts w:ascii="Times New Roman" w:hAnsi="Times New Roman"/>
          <w:sz w:val="26"/>
          <w:szCs w:val="26"/>
        </w:rPr>
        <w:t>м сертификатом Оренбургской области (нарастающим итогом с 2022 года)» изменены на все года реализации: 2023 – 1140, 2024 – 1876, 2025 – 2415, 2026 – 2959, 2027 – 3503, 2028 – 4047, 2029 – 4591, 2030 – 5135 человек (пункт 5.7.);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«Площадь зданий и сооружений</w:t>
      </w:r>
      <w:r>
        <w:rPr>
          <w:rFonts w:ascii="Times New Roman" w:hAnsi="Times New Roman"/>
          <w:sz w:val="26"/>
          <w:szCs w:val="26"/>
        </w:rPr>
        <w:t>, находящихся в пользовании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области», соответствующих санитарным нормам и правилам пожарной безопасности»</w:t>
      </w:r>
      <w:r>
        <w:rPr>
          <w:rFonts w:ascii="Times New Roman" w:hAnsi="Times New Roman"/>
          <w:sz w:val="26"/>
          <w:szCs w:val="26"/>
        </w:rPr>
        <w:t xml:space="preserve"> установлено значение 11894,69 кв. метров на все года реализации (пункт 7.2.);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0"/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«Доля мер социальной защиты (поддержки) регионального уровня, которые граждане получили в проактивном формате по реквизитам счетов, направленных гражданами посредством Единого п</w:t>
      </w:r>
      <w:r>
        <w:rPr>
          <w:rFonts w:ascii="Times New Roman" w:hAnsi="Times New Roman"/>
          <w:sz w:val="26"/>
          <w:szCs w:val="26"/>
        </w:rPr>
        <w:t>ортала государственных и муниципальных услуг (функций) в Единую государственную информационную систему социального обеспечения» установлено значение 0 процентов на все года реализации (пункт 7.5.);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«Доля региональных мер социальной защиты (поддержки), по к</w:t>
      </w:r>
      <w:r>
        <w:rPr>
          <w:rFonts w:ascii="Times New Roman" w:hAnsi="Times New Roman"/>
          <w:sz w:val="26"/>
          <w:szCs w:val="26"/>
        </w:rPr>
        <w:t>оторым граждане имеют возможность подать заявление через ЕПГУ и (или) региональный портал государственных и муниципальных услуг» значение на 2023 год снижено с 95 до 32, на 2024 год со 100 до 80 процентов (пункт 7.6.);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«Доля требований к интеграции ГАИС «Э</w:t>
      </w:r>
      <w:r>
        <w:rPr>
          <w:rFonts w:ascii="Times New Roman" w:hAnsi="Times New Roman"/>
          <w:sz w:val="26"/>
          <w:szCs w:val="26"/>
        </w:rPr>
        <w:t xml:space="preserve">СРН», содержащей сведения о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и ЕГИССО» установлено значение 0 процентов на все года </w:t>
      </w:r>
      <w:r>
        <w:rPr>
          <w:rFonts w:ascii="Times New Roman" w:hAnsi="Times New Roman"/>
          <w:sz w:val="26"/>
          <w:szCs w:val="26"/>
        </w:rPr>
        <w:t>реализации (пункт 7.11.);</w:t>
      </w:r>
    </w:p>
    <w:p w:rsidR="00013341" w:rsidRDefault="003A1F52">
      <w:pPr>
        <w:pStyle w:val="af0"/>
        <w:numPr>
          <w:ilvl w:val="0"/>
          <w:numId w:val="3"/>
        </w:numPr>
        <w:tabs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«Качество обеспечения функционирования информационной системы «Единый контакт-центр взаимодействия с гражданами» в органах социальной защиты Оренбургской области» значение на 2023 год увеличено с 80 до 100 процентов (пункт 7.12.).</w:t>
      </w:r>
    </w:p>
    <w:p w:rsidR="00013341" w:rsidRDefault="00013341">
      <w:pPr>
        <w:pStyle w:val="af0"/>
        <w:tabs>
          <w:tab w:val="left" w:pos="1069"/>
          <w:tab w:val="left" w:pos="1134"/>
          <w:tab w:val="left" w:pos="2268"/>
        </w:tabs>
        <w:ind w:left="0" w:firstLine="720"/>
        <w:rPr>
          <w:rFonts w:ascii="Times New Roman" w:hAnsi="Times New Roman"/>
          <w:sz w:val="26"/>
          <w:szCs w:val="26"/>
        </w:rPr>
      </w:pPr>
    </w:p>
    <w:p w:rsidR="00013341" w:rsidRDefault="003A1F52">
      <w:pPr>
        <w:pStyle w:val="af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бюджетных ассигнованиях на реализацию государственной программы приведена в соответствии с Законами Оренбургской области от 14.12.2023 № 990/398-VII-ОЗ «Об областном бюджете на 2023 год и на плановый период 2024 и 2025 годов, № 993/400-VII-О</w:t>
      </w:r>
      <w:r>
        <w:rPr>
          <w:rFonts w:ascii="Times New Roman" w:hAnsi="Times New Roman"/>
          <w:sz w:val="26"/>
          <w:szCs w:val="26"/>
        </w:rPr>
        <w:t>З «Об областном бюджете на 2024 год и на плановый период 2025 и 2026 годов» (приложения 4,5).</w:t>
      </w:r>
    </w:p>
    <w:p w:rsidR="00013341" w:rsidRDefault="00013341">
      <w:pPr>
        <w:pStyle w:val="af0"/>
        <w:tabs>
          <w:tab w:val="left" w:pos="0"/>
          <w:tab w:val="left" w:pos="1134"/>
        </w:tabs>
        <w:ind w:left="0" w:firstLine="0"/>
        <w:rPr>
          <w:rFonts w:ascii="Times New Roman" w:hAnsi="Times New Roman"/>
          <w:sz w:val="26"/>
          <w:szCs w:val="26"/>
        </w:rPr>
      </w:pPr>
    </w:p>
    <w:p w:rsidR="00013341" w:rsidRDefault="003A1F52">
      <w:pPr>
        <w:pStyle w:val="af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Информация об обеспечении реализации государственной программы за счет налоговых расходов скорректирована с учетом данных Управления федеральной налоговой службы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Оренбургской области о налогоплательщиках, освобожденных от уплаты транспортного налога за 2022 год (приложение 6).</w:t>
      </w:r>
    </w:p>
    <w:p w:rsidR="00013341" w:rsidRDefault="00013341">
      <w:pPr>
        <w:pStyle w:val="af0"/>
        <w:tabs>
          <w:tab w:val="left" w:pos="1134"/>
        </w:tabs>
        <w:ind w:left="0" w:firstLine="0"/>
        <w:rPr>
          <w:rFonts w:ascii="Times New Roman" w:hAnsi="Times New Roman"/>
          <w:sz w:val="26"/>
          <w:szCs w:val="26"/>
        </w:rPr>
      </w:pPr>
    </w:p>
    <w:p w:rsidR="00013341" w:rsidRDefault="003A1F52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реализации государственной программы на 2023 год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(приложение 8) дополнен контрольными точками по трем новым результатам (пункты 2.1.1, 8.1.1, 8.1.2, 8.1.3). </w:t>
      </w:r>
    </w:p>
    <w:p w:rsidR="00013341" w:rsidRDefault="003A1F5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РЕШЕНИЕ:</w:t>
      </w:r>
    </w:p>
    <w:p w:rsidR="00013341" w:rsidRDefault="003A1F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согласуемые документы </w:t>
      </w:r>
      <w:r>
        <w:rPr>
          <w:kern w:val="2"/>
          <w:sz w:val="26"/>
          <w:szCs w:val="26"/>
          <w:lang w:eastAsia="zh-CN"/>
        </w:rPr>
        <w:t>государственной программы «</w:t>
      </w:r>
      <w:r>
        <w:rPr>
          <w:sz w:val="26"/>
          <w:szCs w:val="26"/>
        </w:rPr>
        <w:t>Социальная поддержка граждан в Оренбургской области»: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Значения </w:t>
      </w:r>
      <w:r>
        <w:rPr>
          <w:color w:val="000000"/>
          <w:sz w:val="26"/>
          <w:szCs w:val="26"/>
        </w:rPr>
        <w:t>показателей государственной программы согласно приложению № 1 к настоящему протоколу;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Задачи, планируемые в рамках структурных элементов государственной программы согласно приложению № 2 к настоящему протоколу;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(результатов), направлен</w:t>
      </w:r>
      <w:r>
        <w:rPr>
          <w:sz w:val="26"/>
          <w:szCs w:val="26"/>
        </w:rPr>
        <w:t xml:space="preserve">ных на реализацию задач структурных элементов государственной программы </w:t>
      </w:r>
      <w:r>
        <w:rPr>
          <w:color w:val="000000"/>
          <w:sz w:val="26"/>
          <w:szCs w:val="26"/>
        </w:rPr>
        <w:t>согласно приложению № 3 к настоящему протоколу;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Информацию о бюджетных ассигнованиях на реализацию государственной программы </w:t>
      </w:r>
      <w:r>
        <w:rPr>
          <w:color w:val="000000"/>
          <w:sz w:val="26"/>
          <w:szCs w:val="26"/>
        </w:rPr>
        <w:t>согласно приложениям № 4,5 к настоящему протоколу;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</w:t>
      </w:r>
      <w:r>
        <w:rPr>
          <w:color w:val="000000"/>
          <w:sz w:val="26"/>
          <w:szCs w:val="26"/>
        </w:rPr>
        <w:t xml:space="preserve"> о методике расчета показателей государственной программы и результатов структурных элементов согласно приложению № 7 к настоящему протоколу;</w:t>
      </w:r>
    </w:p>
    <w:p w:rsidR="00013341" w:rsidRDefault="003A1F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реализации государственной программы на 2023 год согласно приложению № 8 к настоящему протоколу.</w:t>
      </w:r>
    </w:p>
    <w:p w:rsidR="00013341" w:rsidRDefault="00013341">
      <w:pPr>
        <w:jc w:val="both"/>
        <w:rPr>
          <w:sz w:val="26"/>
          <w:szCs w:val="26"/>
        </w:rPr>
      </w:pPr>
    </w:p>
    <w:p w:rsidR="00013341" w:rsidRDefault="00013341">
      <w:pPr>
        <w:jc w:val="both"/>
        <w:rPr>
          <w:sz w:val="26"/>
          <w:szCs w:val="26"/>
        </w:rPr>
      </w:pPr>
    </w:p>
    <w:p w:rsidR="00013341" w:rsidRDefault="00013341">
      <w:pPr>
        <w:jc w:val="both"/>
        <w:rPr>
          <w:sz w:val="26"/>
          <w:szCs w:val="26"/>
        </w:rPr>
      </w:pPr>
    </w:p>
    <w:p w:rsidR="00013341" w:rsidRDefault="003A1F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>
        <w:rPr>
          <w:sz w:val="28"/>
          <w:szCs w:val="28"/>
        </w:rPr>
        <w:t>ель управляющего совета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Е.А.Сладкова</w:t>
      </w:r>
    </w:p>
    <w:p w:rsidR="00013341" w:rsidRDefault="00013341">
      <w:pPr>
        <w:tabs>
          <w:tab w:val="left" w:pos="1845"/>
        </w:tabs>
        <w:jc w:val="both"/>
        <w:rPr>
          <w:rFonts w:ascii="Tahoma" w:hAnsi="Tahoma" w:cs="Tahoma"/>
          <w:sz w:val="27"/>
          <w:szCs w:val="27"/>
        </w:rPr>
      </w:pPr>
    </w:p>
    <w:p w:rsidR="00013341" w:rsidRDefault="00013341">
      <w:pPr>
        <w:tabs>
          <w:tab w:val="left" w:pos="1845"/>
        </w:tabs>
        <w:jc w:val="both"/>
        <w:rPr>
          <w:rFonts w:ascii="Tahoma" w:hAnsi="Tahoma" w:cs="Tahoma"/>
          <w:sz w:val="27"/>
          <w:szCs w:val="27"/>
        </w:rPr>
      </w:pPr>
    </w:p>
    <w:p w:rsidR="00013341" w:rsidRDefault="003A1F52">
      <w:pPr>
        <w:tabs>
          <w:tab w:val="left" w:pos="1845"/>
        </w:tabs>
        <w:jc w:val="both"/>
        <w:rPr>
          <w:sz w:val="28"/>
          <w:szCs w:val="28"/>
        </w:rPr>
      </w:pPr>
      <w:r>
        <w:rPr>
          <w:rFonts w:ascii="Tahoma" w:hAnsi="Tahoma" w:cs="Tahoma"/>
          <w:sz w:val="27"/>
          <w:szCs w:val="27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599815" cy="125476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</w:t>
      </w:r>
    </w:p>
    <w:p w:rsidR="00013341" w:rsidRDefault="00013341">
      <w:pPr>
        <w:jc w:val="both"/>
        <w:rPr>
          <w:sz w:val="28"/>
          <w:szCs w:val="28"/>
        </w:rPr>
      </w:pPr>
    </w:p>
    <w:p w:rsidR="00013341" w:rsidRDefault="00013341">
      <w:pPr>
        <w:jc w:val="both"/>
        <w:rPr>
          <w:sz w:val="28"/>
          <w:szCs w:val="28"/>
        </w:rPr>
      </w:pPr>
    </w:p>
    <w:p w:rsidR="00013341" w:rsidRDefault="003A1F52">
      <w:pPr>
        <w:jc w:val="both"/>
        <w:rPr>
          <w:sz w:val="27"/>
          <w:szCs w:val="27"/>
        </w:rPr>
      </w:pPr>
      <w:r>
        <w:rPr>
          <w:sz w:val="27"/>
          <w:szCs w:val="27"/>
        </w:rPr>
        <w:t>Лист согласования прилагается.</w:t>
      </w:r>
    </w:p>
    <w:sectPr w:rsidR="00013341">
      <w:headerReference w:type="even" r:id="rId9"/>
      <w:headerReference w:type="default" r:id="rId10"/>
      <w:pgSz w:w="11906" w:h="16838"/>
      <w:pgMar w:top="766" w:right="849" w:bottom="709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F52">
      <w:r>
        <w:separator/>
      </w:r>
    </w:p>
  </w:endnote>
  <w:endnote w:type="continuationSeparator" w:id="0">
    <w:p w:rsidR="00000000" w:rsidRDefault="003A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F52">
      <w:r>
        <w:separator/>
      </w:r>
    </w:p>
  </w:footnote>
  <w:footnote w:type="continuationSeparator" w:id="0">
    <w:p w:rsidR="00000000" w:rsidRDefault="003A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41" w:rsidRDefault="003A1F52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13341" w:rsidRDefault="003A1F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41" w:rsidRDefault="003A1F52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13341" w:rsidRDefault="003A1F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" o:allowincell="f" stroked="f">
              <v:fill opacity="0"/>
              <v:textbox style="mso-fit-shape-to-text:t" inset="0,0,0,0">
                <w:txbxContent>
                  <w:p w:rsidR="00013341" w:rsidRDefault="003A1F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A25"/>
    <w:multiLevelType w:val="multilevel"/>
    <w:tmpl w:val="100E4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330E8B"/>
    <w:multiLevelType w:val="multilevel"/>
    <w:tmpl w:val="5D62FCF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6322F99"/>
    <w:multiLevelType w:val="multilevel"/>
    <w:tmpl w:val="55340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CB211E"/>
    <w:multiLevelType w:val="multilevel"/>
    <w:tmpl w:val="5A6662C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735609B7"/>
    <w:multiLevelType w:val="multilevel"/>
    <w:tmpl w:val="C20498C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41"/>
    <w:rsid w:val="00013341"/>
    <w:rsid w:val="003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0B4E5-4D49-49CB-AB16-8A9E01E3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84FE9"/>
  </w:style>
  <w:style w:type="character" w:customStyle="1" w:styleId="a4">
    <w:name w:val="Нижний колонтитул Знак"/>
    <w:link w:val="a5"/>
    <w:qFormat/>
    <w:rsid w:val="001407DF"/>
    <w:rPr>
      <w:sz w:val="24"/>
      <w:szCs w:val="24"/>
    </w:rPr>
  </w:style>
  <w:style w:type="character" w:styleId="a6">
    <w:name w:val="Hyperlink"/>
    <w:uiPriority w:val="99"/>
    <w:unhideWhenUsed/>
    <w:rsid w:val="00EA2E58"/>
    <w:rPr>
      <w:color w:val="0000FF"/>
      <w:u w:val="single"/>
    </w:rPr>
  </w:style>
  <w:style w:type="character" w:styleId="a7">
    <w:name w:val="Emphasis"/>
    <w:uiPriority w:val="20"/>
    <w:qFormat/>
    <w:rsid w:val="004209ED"/>
    <w:rPr>
      <w:i/>
      <w:iCs/>
    </w:rPr>
  </w:style>
  <w:style w:type="character" w:customStyle="1" w:styleId="2">
    <w:name w:val="Основной текст 2 Знак"/>
    <w:link w:val="20"/>
    <w:uiPriority w:val="99"/>
    <w:qFormat/>
    <w:rsid w:val="00DA6C2F"/>
    <w:rPr>
      <w:lang w:val="x-none" w:eastAsia="x-none"/>
    </w:rPr>
  </w:style>
  <w:style w:type="character" w:customStyle="1" w:styleId="a8">
    <w:name w:val="Текст выноски Знак"/>
    <w:link w:val="a9"/>
    <w:qFormat/>
    <w:rsid w:val="004E33AC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b"/>
    <w:qFormat/>
    <w:rsid w:val="00EB3D1A"/>
    <w:rPr>
      <w:sz w:val="24"/>
      <w:szCs w:val="24"/>
    </w:rPr>
  </w:style>
  <w:style w:type="character" w:customStyle="1" w:styleId="s10">
    <w:name w:val="s_10"/>
    <w:qFormat/>
    <w:rsid w:val="00EB3D1A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link w:val="aa"/>
    <w:rsid w:val="00EB3D1A"/>
    <w:pPr>
      <w:spacing w:after="120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584F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4"/>
    <w:rsid w:val="001407D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">
    <w:name w:val="Знак"/>
    <w:basedOn w:val="a"/>
    <w:qFormat/>
    <w:rsid w:val="00D419E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0D6125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A773ED"/>
    <w:pPr>
      <w:widowControl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ED1032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"/>
    <w:uiPriority w:val="99"/>
    <w:qFormat/>
    <w:rsid w:val="00DA6C2F"/>
    <w:pPr>
      <w:tabs>
        <w:tab w:val="left" w:pos="4395"/>
      </w:tabs>
      <w:ind w:right="-284"/>
      <w:jc w:val="center"/>
    </w:pPr>
    <w:rPr>
      <w:sz w:val="20"/>
      <w:szCs w:val="20"/>
      <w:lang w:val="x-none" w:eastAsia="x-none"/>
    </w:rPr>
  </w:style>
  <w:style w:type="paragraph" w:customStyle="1" w:styleId="ConsPlusTitle">
    <w:name w:val="ConsPlusTitle"/>
    <w:qFormat/>
    <w:rsid w:val="00CA5654"/>
    <w:pPr>
      <w:widowControl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8"/>
    <w:qFormat/>
    <w:rsid w:val="004E33A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B3D1A"/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59"/>
    <w:rsid w:val="00A1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10/2012</vt:lpstr>
    </vt:vector>
  </TitlesOfParts>
  <Company>MoBIL GROUP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10/2012</dc:title>
  <dc:subject/>
  <dc:creator>User</dc:creator>
  <dc:description/>
  <cp:lastModifiedBy>Зайцева Ирина Алексеевна</cp:lastModifiedBy>
  <cp:revision>2</cp:revision>
  <cp:lastPrinted>2023-12-26T05:58:00Z</cp:lastPrinted>
  <dcterms:created xsi:type="dcterms:W3CDTF">2023-12-29T10:35:00Z</dcterms:created>
  <dcterms:modified xsi:type="dcterms:W3CDTF">2023-12-29T10:35:00Z</dcterms:modified>
  <dc:language>ru-RU</dc:language>
</cp:coreProperties>
</file>